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F6" w:rsidRDefault="005A67F6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4B6665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E35A2B"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НАДЕЖДИНСКОГО</w:t>
            </w: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Pr="00FC6DCA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FC6DCA" w:rsidRDefault="004B6665" w:rsidP="005C5308">
            <w:pPr>
              <w:spacing w:after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6659C2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="004F7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9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Pr="006659C2" w:rsidRDefault="00E35A2B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НАДЕЖДИНО</w:t>
            </w:r>
            <w:proofErr w:type="gramEnd"/>
            <w:r w:rsidR="004F7BA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="004B6665"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АВЫЛ ЖИРЛЕГЕ </w:t>
            </w:r>
            <w:r w:rsidR="004F7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665" w:rsidRPr="006659C2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  <w:p w:rsidR="004B6665" w:rsidRPr="006659C2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B6665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659C2" w:rsidRDefault="004B6665" w:rsidP="006659C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Pr="006659C2" w:rsidRDefault="00E35A2B" w:rsidP="00F25366">
      <w:pPr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07</w:t>
      </w:r>
      <w:r w:rsidR="00793F18">
        <w:rPr>
          <w:rFonts w:ascii="Times New Roman" w:hAnsi="Times New Roman" w:cs="Times New Roman"/>
          <w:sz w:val="28"/>
          <w:szCs w:val="28"/>
          <w:lang w:val="tt-RU"/>
        </w:rPr>
        <w:t xml:space="preserve">  октября  </w:t>
      </w:r>
      <w:r w:rsidR="006659C2">
        <w:rPr>
          <w:rFonts w:ascii="Times New Roman" w:hAnsi="Times New Roman" w:cs="Times New Roman"/>
          <w:sz w:val="28"/>
          <w:szCs w:val="28"/>
          <w:lang w:val="tt-RU"/>
        </w:rPr>
        <w:t>2019</w:t>
      </w:r>
      <w:r w:rsidR="00793F1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59C2">
        <w:rPr>
          <w:rFonts w:ascii="Times New Roman" w:hAnsi="Times New Roman" w:cs="Times New Roman"/>
          <w:sz w:val="28"/>
          <w:szCs w:val="28"/>
          <w:lang w:val="tt-RU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Надеждино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="006659C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5304">
        <w:rPr>
          <w:rFonts w:ascii="Times New Roman" w:hAnsi="Times New Roman" w:cs="Times New Roman"/>
          <w:sz w:val="28"/>
          <w:szCs w:val="28"/>
        </w:rPr>
        <w:t xml:space="preserve">       </w:t>
      </w:r>
      <w:r w:rsidR="004B6665">
        <w:rPr>
          <w:rFonts w:ascii="Times New Roman" w:hAnsi="Times New Roman" w:cs="Times New Roman"/>
          <w:sz w:val="28"/>
          <w:szCs w:val="28"/>
        </w:rPr>
        <w:t xml:space="preserve">№ </w:t>
      </w:r>
      <w:r w:rsidR="00793F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9614A" w:rsidRP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Кайб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ыч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</w:t>
      </w:r>
      <w:proofErr w:type="gram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Надеждино</w:t>
      </w:r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авыл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җирлегенең 2019-2029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елларга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транспорт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инфраструктурасын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үстерү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программасын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раслау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турында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9614A" w:rsidRP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P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27.07.2016 ел, №58 беркетмәнең II бүлегендәге 2 пункты нигезендә, Россия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Федерациясе</w:t>
      </w:r>
      <w:proofErr w:type="spellEnd"/>
      <w:proofErr w:type="gram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 һәм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юл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хуҗалыгы өлкәсендә норматив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хокукый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актларны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гамәлгә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ашыру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мәсьәләсе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буенча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Россия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Федерациясе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субъектлары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</w:t>
      </w:r>
      <w:proofErr w:type="gram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ит</w:t>
      </w:r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әкчеләре белән селектор киңәшмәсе үткәрелде.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берәмлеклә</w:t>
      </w:r>
      <w:proofErr w:type="gram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өчен транспорт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инфраструктурасын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үстерү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программаларын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эшләүгә һәм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раслауга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кагылышлы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өлешендә, 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Транспорт һәм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юл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хуҗалыгы министрлыгының 2016 елның 19 декабрендәге 03-16/5899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номерлы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хаты белән 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Кайб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ыч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Надеждино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авыл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җирлегендә,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иминлек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дәрәҗәсен күтәреп, транспорт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инфраструктурасын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үстерүне тәэмин итү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максатларында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Кайб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ыч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</w:t>
      </w:r>
      <w:proofErr w:type="gram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Надеждино</w:t>
      </w:r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авыл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җирлег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башкарма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комитеты КАРАР БИРӘ:</w:t>
      </w:r>
    </w:p>
    <w:p w:rsidR="00C9614A" w:rsidRP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2019-2029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елларга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Кайб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ыч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</w:t>
      </w:r>
      <w:proofErr w:type="gram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Надеждино</w:t>
      </w:r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авыл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җирлегенең транспорт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инфраструктурасын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үстерү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программасын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раслау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турында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кушымта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9614A" w:rsidRP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Кайб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ыч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Надеждино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авыл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җирлеге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Башкарма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комитетының «2016-2030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елларга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Республикасы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Кайб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ыч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районы Надеждино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авыл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җирлегенең 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транспорт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инфраструктурасын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үстерү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программас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ын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раслау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турында</w:t>
      </w:r>
      <w:proofErr w:type="spellEnd"/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>» 2016 елның 23</w:t>
      </w: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июнендәге 9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номерлы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карары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үз көчен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югалткан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дип</w:t>
      </w:r>
      <w:proofErr w:type="spellEnd"/>
      <w:proofErr w:type="gram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танырга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9614A" w:rsidRPr="00C9614A" w:rsidRDefault="00C9614A" w:rsidP="00C96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3. Әлеге карарның үтәлешен контрольдә </w:t>
      </w:r>
      <w:proofErr w:type="spellStart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тотам</w:t>
      </w:r>
      <w:proofErr w:type="spellEnd"/>
      <w:r w:rsidRPr="00C961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72CB4" w:rsidRDefault="00C9614A" w:rsidP="00C9614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</w:t>
      </w:r>
      <w:r w:rsidR="00E35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72CB4" w:rsidRDefault="00972CB4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A65FB9" w:rsidRDefault="00E35A2B" w:rsidP="00E35A2B">
      <w:pPr>
        <w:jc w:val="both"/>
        <w:rPr>
          <w:b/>
          <w:sz w:val="28"/>
          <w:szCs w:val="28"/>
          <w:lang w:val="tt-RU"/>
        </w:rPr>
      </w:pPr>
      <w:r w:rsidRPr="00A65FB9">
        <w:rPr>
          <w:b/>
          <w:sz w:val="28"/>
          <w:szCs w:val="28"/>
          <w:lang w:val="tt-RU"/>
        </w:rPr>
        <w:t>Татарстан Республикасы</w:t>
      </w:r>
    </w:p>
    <w:p w:rsidR="00E35A2B" w:rsidRPr="00A65FB9" w:rsidRDefault="00E35A2B" w:rsidP="00E35A2B">
      <w:pPr>
        <w:jc w:val="both"/>
        <w:rPr>
          <w:b/>
          <w:sz w:val="28"/>
          <w:szCs w:val="28"/>
        </w:rPr>
      </w:pPr>
      <w:r w:rsidRPr="00A65FB9">
        <w:rPr>
          <w:b/>
          <w:sz w:val="28"/>
          <w:szCs w:val="28"/>
          <w:lang w:val="tt-RU"/>
        </w:rPr>
        <w:t>Кайбыч муни</w:t>
      </w:r>
      <w:proofErr w:type="spellStart"/>
      <w:r w:rsidRPr="00A65FB9">
        <w:rPr>
          <w:b/>
          <w:sz w:val="28"/>
          <w:szCs w:val="28"/>
        </w:rPr>
        <w:t>ципаль</w:t>
      </w:r>
      <w:proofErr w:type="spellEnd"/>
      <w:r w:rsidRPr="00A65FB9">
        <w:rPr>
          <w:b/>
          <w:sz w:val="28"/>
          <w:szCs w:val="28"/>
        </w:rPr>
        <w:t xml:space="preserve"> районы</w:t>
      </w:r>
    </w:p>
    <w:p w:rsidR="00E35A2B" w:rsidRPr="00A65FB9" w:rsidRDefault="00E35A2B" w:rsidP="00E35A2B">
      <w:pPr>
        <w:jc w:val="both"/>
        <w:rPr>
          <w:b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  <w:lang w:bidi="ru-RU"/>
        </w:rPr>
        <w:t>Надеждино</w:t>
      </w:r>
      <w:proofErr w:type="gramEnd"/>
      <w:r>
        <w:rPr>
          <w:rFonts w:eastAsia="Times New Roman"/>
          <w:b/>
          <w:bCs/>
          <w:sz w:val="28"/>
          <w:szCs w:val="28"/>
          <w:lang w:bidi="ru-RU"/>
        </w:rPr>
        <w:t xml:space="preserve"> </w:t>
      </w:r>
      <w:proofErr w:type="spellStart"/>
      <w:r w:rsidRPr="00A65FB9">
        <w:rPr>
          <w:b/>
          <w:sz w:val="28"/>
          <w:szCs w:val="28"/>
        </w:rPr>
        <w:t>авыл</w:t>
      </w:r>
      <w:proofErr w:type="spellEnd"/>
      <w:r w:rsidRPr="00A65FB9">
        <w:rPr>
          <w:b/>
          <w:sz w:val="28"/>
          <w:szCs w:val="28"/>
        </w:rPr>
        <w:t xml:space="preserve"> җирлеге </w:t>
      </w:r>
      <w:proofErr w:type="spellStart"/>
      <w:r w:rsidRPr="00A65FB9">
        <w:rPr>
          <w:b/>
          <w:sz w:val="28"/>
          <w:szCs w:val="28"/>
        </w:rPr>
        <w:t>башлыгы</w:t>
      </w:r>
      <w:proofErr w:type="spellEnd"/>
      <w:r w:rsidRPr="00A65FB9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</w:t>
      </w:r>
      <w:r w:rsidRPr="00A65FB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Е.В.Савельева</w:t>
      </w:r>
    </w:p>
    <w:p w:rsidR="00E35A2B" w:rsidRPr="00A65FB9" w:rsidRDefault="00E35A2B" w:rsidP="00E35A2B">
      <w:pPr>
        <w:jc w:val="both"/>
        <w:rPr>
          <w:b/>
          <w:sz w:val="28"/>
          <w:szCs w:val="28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614A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Исполнительного комитета</w:t>
      </w: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Кайбицкого</w:t>
      </w:r>
      <w:proofErr w:type="spellEnd"/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</w:t>
      </w: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Татарстан</w:t>
      </w:r>
    </w:p>
    <w:p w:rsidR="00E35A2B" w:rsidRPr="00E0729F" w:rsidRDefault="00E35A2B" w:rsidP="00E35A2B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729F">
        <w:rPr>
          <w:rFonts w:ascii="Times New Roman" w:eastAsia="Calibri" w:hAnsi="Times New Roman" w:cs="Times New Roman"/>
          <w:sz w:val="24"/>
          <w:szCs w:val="24"/>
          <w:lang w:eastAsia="en-US"/>
        </w:rPr>
        <w:t>от «30» сентября 2019г. №11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E35A2B" w:rsidRPr="00E0729F" w:rsidRDefault="00E35A2B" w:rsidP="00E35A2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</w:p>
    <w:p w:rsidR="00E35A2B" w:rsidRPr="00E0729F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 РАЗВИТИЯ ТРАНСПОРТНОЙ ИНФРАСТРУКТУРЫ НАДЕЖДИНСКОГО СЕЛЬСКОГО ПОСЕЛЕНИЯ</w:t>
      </w:r>
    </w:p>
    <w:p w:rsidR="00E35A2B" w:rsidRPr="00E0729F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 МУНИЦИПАЛЬНОГО РАЙОНА</w:t>
      </w:r>
    </w:p>
    <w:p w:rsidR="00E35A2B" w:rsidRPr="00E0729F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E35A2B" w:rsidRPr="00E0729F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 2019- 2029 ГОДЫ</w:t>
      </w: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адеждино</w:t>
      </w:r>
    </w:p>
    <w:p w:rsidR="00E35A2B" w:rsidRPr="00E0729F" w:rsidRDefault="00E35A2B" w:rsidP="00E35A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</w:t>
      </w:r>
    </w:p>
    <w:p w:rsidR="00E35A2B" w:rsidRPr="00E0729F" w:rsidRDefault="00E35A2B" w:rsidP="00E35A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ПАСПОРТ ПРОГРАММЫ</w:t>
      </w:r>
    </w:p>
    <w:tbl>
      <w:tblPr>
        <w:tblStyle w:val="a4"/>
        <w:tblW w:w="0" w:type="auto"/>
        <w:tblLook w:val="04A0"/>
      </w:tblPr>
      <w:tblGrid>
        <w:gridCol w:w="669"/>
        <w:gridCol w:w="4195"/>
        <w:gridCol w:w="4764"/>
      </w:tblGrid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систем транспортной инфраструктуры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2019- 2029 годы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29.12. 2014 № 456-ФЗ «О внесении изменений в Градостроительный кодекс Российской Федерации и отдельные законодательные акты Российской Федерации»; 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25.12.2015 №1440 «Об утверждении требований к программам комплексного развития систем транспортной инфраструктуры поселений, городских округов»; 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- поручение Президента Республики Татарстан Р.Н.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Минниханова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от 06.06.2016 №326661 - МР «О разработке 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программы комплексного развития систем транспортной инфраструктуры муниципальных образований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развития транспортной инфраструктуры в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Надеждинском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сельском поселении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 повышением уровня ее безопасности.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Задачи: - обеспечение строительства, реконструкции объектов транспортной инфраструктуры; повышение безопасности дорожного движения на территории муниципального образования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- протяженность автомобильных дорог общего пользования местного значения;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проектов на строительство, реконструкцию объектов транспортной инфраструктуры;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- протяженность построенных, реконструированных автомобильных дорог;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внедренных технических средств организации дорожного движения.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Приведены в разделе 5 «Приоритеты развития транспортного комплекса»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E35A2B" w:rsidRPr="00E0729F" w:rsidTr="00ED6051">
        <w:tc>
          <w:tcPr>
            <w:tcW w:w="669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4764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условий для развития транспортной инфраструктуры на территории муниципального образования; </w:t>
            </w:r>
          </w:p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- повышение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E35A2B" w:rsidRPr="00E0729F" w:rsidRDefault="00E35A2B" w:rsidP="00E35A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072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2.ОБЩИЕ СВЕДЕНИЯ</w:t>
      </w:r>
      <w:r w:rsidRPr="00E0729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</w:p>
    <w:p w:rsidR="00E35A2B" w:rsidRPr="00E0729F" w:rsidRDefault="00E35A2B" w:rsidP="00E35A2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E0729F">
        <w:rPr>
          <w:rFonts w:ascii="Times New Roman" w:eastAsia="Times New Roman" w:hAnsi="Times New Roman" w:cs="Times New Roman"/>
          <w:sz w:val="28"/>
          <w:szCs w:val="20"/>
          <w:lang w:eastAsia="zh-CN"/>
        </w:rPr>
        <w:t>Надеждинское</w:t>
      </w:r>
      <w:proofErr w:type="spellEnd"/>
      <w:r w:rsidRPr="00E0729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сельское поселение граничит с </w:t>
      </w:r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Багаевским, </w:t>
      </w:r>
      <w:proofErr w:type="spellStart"/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Большеподберезинским</w:t>
      </w:r>
      <w:proofErr w:type="spellEnd"/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proofErr w:type="spellStart"/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Ульянковским</w:t>
      </w:r>
      <w:proofErr w:type="spellEnd"/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сельскими поселениями, </w:t>
      </w:r>
      <w:proofErr w:type="spellStart"/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Зеленодольским</w:t>
      </w:r>
      <w:proofErr w:type="spellEnd"/>
      <w:r w:rsidRPr="00E0729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муниципальным районом и Чувашской Республикой.</w:t>
      </w:r>
    </w:p>
    <w:p w:rsidR="00E35A2B" w:rsidRPr="00E0729F" w:rsidRDefault="00E35A2B" w:rsidP="00E35A2B">
      <w:pPr>
        <w:spacing w:after="40" w:line="240" w:lineRule="auto"/>
        <w:ind w:firstLine="720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по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Большеподберезинским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сельским поселением проходит от узловой точки 1, расположенной в 1,8 км на северо-восток от деревни Сосновка на стыке границ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Большеподберезинского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 и Чувашской Республики, на юго-восток 910 м по ручью и 180 м по сельскохозяйственным угодьям, далее идет на северо-восток 70 м по сельскохозяйственным угодьям до лесного квартала 3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Берлибашского</w:t>
      </w:r>
      <w:proofErr w:type="spellEnd"/>
      <w:proofErr w:type="gram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участкового лесничества Государственного бюджетного учреждения Республики Татарстан "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Кайбицкое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лесничество", проходит в юго-восточном направлении 400 м по юго-западной границе данного лесного квартала, затем идет по сельскохозяйственным угодьям 1,7 км на юго-восток, 210 м на юг, 50 м на юго-запад, 500 м на северо-восток до узловой точки 7, расположенной в 3,4 км на запад от деревни Сосновка на стыке границ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Большеподберезинского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proofErr w:type="gram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Ульянковского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поселений.</w:t>
      </w:r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по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Чувашской Республикой проходит от узловой точки 1 по административной границе Республики Татарстан до узловой точки 2(9), расположенной в 3,6 км на северо-восток от деревни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Муратово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стыке границ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поселения,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Зеленодольского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района и Чувашской Республики.</w:t>
      </w:r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Граница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по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Зеленодольским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муниципальным районом проходит от узловой точки 2(9) на юго-восток по границе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Кайбицкого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района до узловой точки 3, расположенной в 2,4 км на северо-запад от села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Багаево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стыке границ Багаевского,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 и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Зеленодольского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района.</w:t>
      </w:r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по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Багаевским сельским поселением проходит от узловой точки 5, расположенной в 2,6 км на северо-запад от деревни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Салтыганово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стыке границ Багаевского,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Ульянковского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сельских поселений, на северо-восток 1,5 км по сельскохозяйственным угодьям, 1,3 км по юго-восточной стороне лесной полосы, 740 м по сельскохозяйственным угодьям, 1,2 км по юго-восточной стороне лесной полосы, далее</w:t>
      </w:r>
      <w:proofErr w:type="gram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идет на северо-запад 360 м по сельскохозяйственным угодьям, затем проходит на северо-восток 370 м по сельскохозяйственным угодьям и 430 м по оврагу до ручья, идет 230 м вниз по течению данного ручья до узловой точки 3.</w:t>
      </w:r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Граница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Надеждинского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по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смежеству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Ульянковским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сельским поселением проходит от узловой точки 5 по сельскохозяйственным угодьям 1,3 км на север, 2,4 км на юго-запад, пересекая пересыхающие ручьи и автодорогу "Большие Кайбицы - </w:t>
      </w:r>
      <w:proofErr w:type="spellStart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Камылово</w:t>
      </w:r>
      <w:proofErr w:type="spellEnd"/>
      <w:r w:rsidRPr="00E0729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" - Надеждино, до лесной полосы, затем проходит на юго-восток 1,7 км по лесной полосе, далее идет на юго-запад 3,7 км по сельскохозяйственным угодьям до узловой точки 7.</w:t>
      </w:r>
      <w:proofErr w:type="gramEnd"/>
    </w:p>
    <w:p w:rsidR="00E35A2B" w:rsidRPr="00E0729F" w:rsidRDefault="00E35A2B" w:rsidP="00E35A2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5A2B" w:rsidRPr="00E0729F" w:rsidRDefault="00E35A2B" w:rsidP="00E35A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ХАРАКТЕРИСТИКА ТРАНСПОРТНОЙ ИНФРАСТРУКТУРЫ.</w:t>
      </w:r>
    </w:p>
    <w:p w:rsidR="00E35A2B" w:rsidRPr="00E0729F" w:rsidRDefault="00E35A2B" w:rsidP="00E35A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транспорт на территории поселения представлен одним видом - автомобильным. В населенных пунктах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внешний транспорт не имеет больших объемов. Внешний транспорт имеет большое значение с точки зрения сообщения поселения с районными и республиканскими центрами и соседними муниципальными образованиями.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мероприятия в части развития дорожной сети на территории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предусмотрены </w:t>
      </w:r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Стратегией социально-экономического развития </w:t>
      </w:r>
      <w:proofErr w:type="spellStart"/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сельского поселения</w:t>
      </w: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до 2020 года.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Мероприятиями Программы в части развития внешнего транспорта являются: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Учет в территориальном планировании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мероприятий по приведению автомобильных дорог местного значения до нормативного состояния (весь период).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Обеспечение соблюдения режима использования полос отвода и охранных </w:t>
      </w:r>
      <w:proofErr w:type="gram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зон</w:t>
      </w:r>
      <w:proofErr w:type="gram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автомобильных дорог федерального и регионального значения (весь период). </w:t>
      </w:r>
    </w:p>
    <w:p w:rsidR="00E35A2B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Общественный транспорт.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 Основным и единственным видом пассажирского транспорта поселения является такси и личные автотранспорты. По территории сельского поселения проходит автотранспортный маршрут: </w:t>
      </w:r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</w:t>
      </w:r>
      <w:proofErr w:type="gramStart"/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.Н</w:t>
      </w:r>
      <w:proofErr w:type="gramEnd"/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адеждино - Казань. Автотранспортные предприятия на территории </w:t>
      </w:r>
      <w:proofErr w:type="spellStart"/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сельского</w:t>
      </w: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отсутствуют. Большинство передвижений в поселении приходится на личный автотранспорт и пешеходные сообщения. 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4. УЛИЧНО-ДОРОЖНАЯ СЕТЬ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является одним из наиболее социально-значимых вопросов. Протяженность улично-дорожной сети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составляет </w:t>
      </w:r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6590</w:t>
      </w:r>
      <w:r w:rsidRPr="00E0729F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метров. Значительная часть автомобильных дорог в поселении имеет щебеночное покрытие.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Характеристика улично-дорожной сети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представлена в Таблице 1.</w:t>
      </w:r>
    </w:p>
    <w:p w:rsidR="00E35A2B" w:rsidRPr="00E0729F" w:rsidRDefault="00E35A2B" w:rsidP="00E35A2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1</w:t>
      </w:r>
    </w:p>
    <w:tbl>
      <w:tblPr>
        <w:tblW w:w="5000" w:type="pct"/>
        <w:tblLook w:val="04A0"/>
      </w:tblPr>
      <w:tblGrid>
        <w:gridCol w:w="653"/>
        <w:gridCol w:w="2816"/>
        <w:gridCol w:w="1243"/>
        <w:gridCol w:w="1012"/>
        <w:gridCol w:w="1166"/>
        <w:gridCol w:w="1539"/>
        <w:gridCol w:w="1709"/>
      </w:tblGrid>
      <w:tr w:rsidR="00E35A2B" w:rsidRPr="00E0729F" w:rsidTr="00ED6051">
        <w:trPr>
          <w:trHeight w:val="345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35A2B" w:rsidRPr="00E0729F" w:rsidTr="00ED6051">
        <w:trPr>
          <w:trHeight w:val="93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а/б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</w:p>
        </w:tc>
      </w:tr>
      <w:tr w:rsidR="00E35A2B" w:rsidRPr="00E0729F" w:rsidTr="00ED6051">
        <w:trPr>
          <w:trHeight w:val="11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с. Надеждино</w:t>
            </w:r>
          </w:p>
        </w:tc>
        <w:tc>
          <w:tcPr>
            <w:tcW w:w="328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Центральная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0,89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Набережная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1,05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уратово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Школьная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Луговая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ичкеево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Нагорная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1,92</w:t>
            </w: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</w:t>
            </w:r>
            <w:proofErr w:type="gram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епьевка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Лесная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</w:t>
            </w:r>
            <w:proofErr w:type="gram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истые Ключи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ижняя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0,59</w:t>
            </w:r>
          </w:p>
        </w:tc>
      </w:tr>
      <w:tr w:rsidR="00E35A2B" w:rsidRPr="00E0729F" w:rsidTr="00ED6051">
        <w:trPr>
          <w:trHeight w:val="31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A2B" w:rsidRPr="00E0729F" w:rsidRDefault="00E35A2B" w:rsidP="00ED6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A2B" w:rsidRPr="00E0729F" w:rsidRDefault="00E35A2B" w:rsidP="00ED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4,05</w:t>
            </w:r>
          </w:p>
        </w:tc>
      </w:tr>
    </w:tbl>
    <w:p w:rsidR="00E35A2B" w:rsidRPr="00E0729F" w:rsidRDefault="00E35A2B" w:rsidP="00E35A2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5. ПРИОРИТЕТЫ РАЗВИТИЯ ТРАНСПОРТНОГО КОМПЛЕКСА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32"/>
          <w:szCs w:val="32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Основными приоритетами развития транспортного комплекса муниципального образования должны стать: на первую очередь (2029 г.):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- ремонт и реконструкция дорожного покрытия существующей улично-дорожной сети.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транспорта на территории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22.11.2008 №1734-р. Стратегическая цель развития транспортной системы в соответствии с Транспортной стратегией -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· конкурентоспособные высококачественные транспортные услуги;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·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· создание условий для превышения уровня предложения транспортных услуг над спросом (в противном случае конкурентной среды не будет). 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6. ОПТИМИЗАЦИЯ УЛИЧНО-ДОРОЖНОЙ СЕТИ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определенными выше приоритетами развития транспортного комплекса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Надеждинского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поселения, Программой предусмотрены нижеописанные мероприятия по оптимизации улично-дорожной сети.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Программой даются предложения по формированию сети магистральной улично-дорожной сети в соответствии с нормативами. Основные расчетные </w:t>
      </w: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параметры уличной сети в пределах сельского населенного пункта и сельского поселения принимаются в соответствии со </w:t>
      </w:r>
      <w:r w:rsidRPr="00E072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СП 42.13330.2011</w:t>
      </w:r>
      <w:r w:rsidRPr="00E0729F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«Градостроительство. Планировка и застройка городских и сельских поселений».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</w:t>
      </w:r>
      <w:proofErr w:type="gram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размещаться</w:t>
      </w:r>
      <w:proofErr w:type="gram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 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7.ОРГАНИЗАЦИЯ МЕСТ СТОЯНКИ И ДОЛГОВРЕМЕНОГО ХРАНЕНИЯ ТРАНСПОРТА.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поселения, в небольших гаражных кооперативах. 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 Постоянное и временное хранение легковых автомобилей населения предусматривается в границах приусадебных участков.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Мероприятия, выполнение которых необходимо по данному разделу: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Строительство автостоянок около объектов обслуживания (весь период);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Организация общественных стоянок в местах наибольшего притяжения (первая очередь – расчетный срок).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8.СОЗДАНИЕ СИСТЕМЫ ПЕШЕХОДНЫХ УЛИЦ И ВЕЛОСИПЕДНЫХ ДОРОЖЕК: ОБЕСПЕЧЕНИЕ БЕЗБАРЬЕРНОЙ СРЕДЫ ДЛЯ ЛИЦ 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С ОГРАНИЧЕННЫМИ ВОЗМОЖНОСТЬЯМИ.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поддержания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 Программой поселения предусматривается создание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 для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маломобильных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</w:t>
      </w:r>
      <w:proofErr w:type="spellStart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среды.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данному разделу: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Формирование системы улиц с преимущественно пешеходным движением (расчетный срок - перспектива); </w:t>
      </w:r>
    </w:p>
    <w:p w:rsidR="00E35A2B" w:rsidRPr="00E0729F" w:rsidRDefault="00E35A2B" w:rsidP="00E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E0729F" w:rsidRDefault="00E35A2B" w:rsidP="00E35A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ПРОГРАММЫ</w:t>
      </w:r>
    </w:p>
    <w:p w:rsidR="00E35A2B" w:rsidRPr="00E0729F" w:rsidRDefault="00E35A2B" w:rsidP="00E35A2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tbl>
      <w:tblPr>
        <w:tblStyle w:val="a4"/>
        <w:tblW w:w="9747" w:type="dxa"/>
        <w:tblLayout w:type="fixed"/>
        <w:tblLook w:val="04A0"/>
      </w:tblPr>
      <w:tblGrid>
        <w:gridCol w:w="4786"/>
        <w:gridCol w:w="2693"/>
        <w:gridCol w:w="2268"/>
      </w:tblGrid>
      <w:tr w:rsidR="00E35A2B" w:rsidRPr="00E0729F" w:rsidTr="00ED6051">
        <w:tc>
          <w:tcPr>
            <w:tcW w:w="4786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E35A2B" w:rsidRPr="00E0729F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2019-2029гг.</w:t>
            </w:r>
          </w:p>
        </w:tc>
      </w:tr>
    </w:tbl>
    <w:p w:rsidR="00E35A2B" w:rsidRPr="00E0729F" w:rsidRDefault="00E35A2B" w:rsidP="00E35A2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35A2B" w:rsidRPr="00E0729F" w:rsidRDefault="00E35A2B" w:rsidP="00E35A2B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E0729F">
        <w:rPr>
          <w:rFonts w:ascii="Times New Roman" w:eastAsia="Calibri" w:hAnsi="Times New Roman" w:cs="Times New Roman"/>
          <w:sz w:val="28"/>
          <w:lang w:eastAsia="en-US"/>
        </w:rPr>
        <w:t>Продолжение таблицы 2</w:t>
      </w:r>
    </w:p>
    <w:tbl>
      <w:tblPr>
        <w:tblStyle w:val="a4"/>
        <w:tblW w:w="9747" w:type="dxa"/>
        <w:tblLayout w:type="fixed"/>
        <w:tblLook w:val="04A0"/>
      </w:tblPr>
      <w:tblGrid>
        <w:gridCol w:w="4786"/>
        <w:gridCol w:w="2693"/>
        <w:gridCol w:w="2268"/>
      </w:tblGrid>
      <w:tr w:rsidR="00E35A2B" w:rsidRPr="00E0729F" w:rsidTr="00ED6051">
        <w:tc>
          <w:tcPr>
            <w:tcW w:w="4786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268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E35A2B" w:rsidRPr="00E0729F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E35A2B" w:rsidRPr="00E0729F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E35A2B" w:rsidRPr="00E0729F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E35A2B" w:rsidRPr="00E0729F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E35A2B" w:rsidRPr="00E0729F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тротуаров при освоении новых территорий для жилищного и промышленного строительства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  <w:tr w:rsidR="00E35A2B" w:rsidRPr="00972CB4" w:rsidTr="00ED6051">
        <w:tc>
          <w:tcPr>
            <w:tcW w:w="4786" w:type="dxa"/>
          </w:tcPr>
          <w:p w:rsidR="00E35A2B" w:rsidRPr="00E0729F" w:rsidRDefault="00E35A2B" w:rsidP="00ED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693" w:type="dxa"/>
            <w:vAlign w:val="center"/>
          </w:tcPr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с. Надеждино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Муратово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ичкеево</w:t>
            </w:r>
            <w:proofErr w:type="spellEnd"/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епьевка</w:t>
            </w:r>
          </w:p>
          <w:p w:rsidR="00E35A2B" w:rsidRPr="00E0729F" w:rsidRDefault="00E35A2B" w:rsidP="00ED6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0729F">
              <w:rPr>
                <w:rFonts w:ascii="Times New Roman" w:hAnsi="Times New Roman" w:cs="Times New Roman"/>
                <w:sz w:val="28"/>
                <w:szCs w:val="28"/>
              </w:rPr>
              <w:t>истые Ключи</w:t>
            </w:r>
          </w:p>
        </w:tc>
        <w:tc>
          <w:tcPr>
            <w:tcW w:w="2268" w:type="dxa"/>
          </w:tcPr>
          <w:p w:rsidR="00E35A2B" w:rsidRPr="00972CB4" w:rsidRDefault="00E35A2B" w:rsidP="00ED6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29F">
              <w:rPr>
                <w:rFonts w:ascii="Times New Roman" w:hAnsi="Times New Roman" w:cs="Times New Roman"/>
                <w:sz w:val="24"/>
                <w:szCs w:val="24"/>
              </w:rPr>
              <w:t>2019-2029гг</w:t>
            </w:r>
          </w:p>
        </w:tc>
      </w:tr>
    </w:tbl>
    <w:p w:rsidR="00E35A2B" w:rsidRPr="00972CB4" w:rsidRDefault="00E35A2B" w:rsidP="00E35A2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5A2B" w:rsidRPr="00972CB4" w:rsidRDefault="00E35A2B" w:rsidP="00E35A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5A2B" w:rsidRDefault="00E35A2B" w:rsidP="00E35A2B">
      <w:pPr>
        <w:spacing w:line="240" w:lineRule="auto"/>
      </w:pPr>
    </w:p>
    <w:p w:rsidR="00C9614A" w:rsidRPr="00972CB4" w:rsidRDefault="00C9614A" w:rsidP="00972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C9614A" w:rsidRPr="00972CB4" w:rsidSect="00F72EA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65"/>
    <w:rsid w:val="0021028D"/>
    <w:rsid w:val="0035016A"/>
    <w:rsid w:val="00361970"/>
    <w:rsid w:val="00365EC0"/>
    <w:rsid w:val="003C2727"/>
    <w:rsid w:val="003D3A72"/>
    <w:rsid w:val="003E2772"/>
    <w:rsid w:val="00462B00"/>
    <w:rsid w:val="004B6665"/>
    <w:rsid w:val="004C5EA1"/>
    <w:rsid w:val="004D1649"/>
    <w:rsid w:val="004F7BA7"/>
    <w:rsid w:val="005A67F6"/>
    <w:rsid w:val="005D317B"/>
    <w:rsid w:val="005F06A4"/>
    <w:rsid w:val="006659C2"/>
    <w:rsid w:val="006D6B68"/>
    <w:rsid w:val="006F45C3"/>
    <w:rsid w:val="00716C8B"/>
    <w:rsid w:val="00793F18"/>
    <w:rsid w:val="008301EB"/>
    <w:rsid w:val="008979D8"/>
    <w:rsid w:val="008B6687"/>
    <w:rsid w:val="008D70EF"/>
    <w:rsid w:val="008E4991"/>
    <w:rsid w:val="008F01A2"/>
    <w:rsid w:val="00972CB4"/>
    <w:rsid w:val="00A64F82"/>
    <w:rsid w:val="00AA7F7B"/>
    <w:rsid w:val="00AF5304"/>
    <w:rsid w:val="00B03A7C"/>
    <w:rsid w:val="00B265D3"/>
    <w:rsid w:val="00B4563B"/>
    <w:rsid w:val="00B625EA"/>
    <w:rsid w:val="00BF6843"/>
    <w:rsid w:val="00C8412A"/>
    <w:rsid w:val="00C90FBE"/>
    <w:rsid w:val="00C9614A"/>
    <w:rsid w:val="00CE6B13"/>
    <w:rsid w:val="00DA3B6D"/>
    <w:rsid w:val="00DB2D17"/>
    <w:rsid w:val="00DC2140"/>
    <w:rsid w:val="00DD09D0"/>
    <w:rsid w:val="00DE39A1"/>
    <w:rsid w:val="00E35A2B"/>
    <w:rsid w:val="00EC64A9"/>
    <w:rsid w:val="00F25366"/>
    <w:rsid w:val="00F72EAB"/>
    <w:rsid w:val="00FC6DCA"/>
    <w:rsid w:val="00FF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C475-D5A9-4F3B-91E8-0A4DA5F7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2019-10-11T11:34:00Z</cp:lastPrinted>
  <dcterms:created xsi:type="dcterms:W3CDTF">2019-09-30T08:23:00Z</dcterms:created>
  <dcterms:modified xsi:type="dcterms:W3CDTF">2019-10-25T10:25:00Z</dcterms:modified>
</cp:coreProperties>
</file>